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ascii="黑体" w:hAnsi="黑体" w:eastAsia="黑体"/>
          <w:b/>
          <w:sz w:val="24"/>
          <w:szCs w:val="24"/>
        </w:rPr>
      </w:pPr>
      <w:r>
        <w:rPr>
          <w:rFonts w:hint="eastAsia" w:ascii="黑体" w:hAnsi="黑体" w:eastAsia="黑体"/>
          <w:b/>
          <w:sz w:val="24"/>
          <w:szCs w:val="24"/>
        </w:rPr>
        <w:t>附件一</w:t>
      </w:r>
    </w:p>
    <w:p>
      <w:pPr>
        <w:jc w:val="center"/>
        <w:rPr>
          <w:rFonts w:ascii="黑体" w:hAnsi="黑体" w:eastAsia="黑体"/>
          <w:b/>
          <w:sz w:val="36"/>
          <w:szCs w:val="36"/>
        </w:rPr>
      </w:pPr>
      <w:bookmarkStart w:id="0" w:name="OLE_LINK1"/>
      <w:r>
        <w:rPr>
          <w:rFonts w:hint="eastAsia" w:ascii="黑体" w:hAnsi="黑体" w:eastAsia="黑体"/>
          <w:b/>
          <w:sz w:val="36"/>
          <w:szCs w:val="36"/>
        </w:rPr>
        <w:t>台州市公交场站置业有限公司东平路</w:t>
      </w:r>
      <w:r>
        <w:rPr>
          <w:rFonts w:ascii="黑体" w:hAnsi="黑体" w:eastAsia="黑体"/>
          <w:b/>
          <w:sz w:val="36"/>
          <w:szCs w:val="36"/>
        </w:rPr>
        <w:t>TOD场站项目</w:t>
      </w:r>
    </w:p>
    <w:p>
      <w:pPr>
        <w:jc w:val="center"/>
        <w:rPr>
          <w:rFonts w:ascii="黑体" w:hAnsi="黑体" w:eastAsia="黑体"/>
          <w:b/>
          <w:sz w:val="36"/>
          <w:szCs w:val="36"/>
        </w:rPr>
      </w:pPr>
      <w:r>
        <w:rPr>
          <w:rFonts w:hint="eastAsia" w:ascii="黑体" w:hAnsi="黑体" w:eastAsia="黑体"/>
          <w:b/>
          <w:sz w:val="36"/>
          <w:szCs w:val="36"/>
        </w:rPr>
        <w:t>能耗监测</w:t>
      </w:r>
    </w:p>
    <w:p>
      <w:pPr>
        <w:pStyle w:val="2"/>
        <w:spacing w:line="360" w:lineRule="auto"/>
        <w:jc w:val="center"/>
        <w:rPr>
          <w:rFonts w:ascii="新宋体" w:hAnsi="新宋体" w:eastAsia="新宋体" w:cs="新宋体"/>
          <w:b/>
          <w:sz w:val="40"/>
          <w:szCs w:val="40"/>
        </w:rPr>
      </w:pPr>
      <w:r>
        <w:rPr>
          <w:rFonts w:hint="eastAsia" w:ascii="新宋体" w:hAnsi="新宋体" w:eastAsia="新宋体" w:cs="新宋体"/>
          <w:b/>
          <w:sz w:val="40"/>
          <w:szCs w:val="40"/>
        </w:rPr>
        <w:t>报价函</w:t>
      </w:r>
    </w:p>
    <w:bookmarkEnd w:id="0"/>
    <w:p>
      <w:pPr>
        <w:pStyle w:val="2"/>
        <w:spacing w:line="460" w:lineRule="exact"/>
        <w:jc w:val="center"/>
        <w:rPr>
          <w:rFonts w:ascii="新宋体" w:hAnsi="新宋体" w:eastAsia="新宋体" w:cs="新宋体"/>
          <w:b/>
          <w:sz w:val="28"/>
          <w:szCs w:val="28"/>
        </w:rPr>
      </w:pPr>
    </w:p>
    <w:p>
      <w:pPr>
        <w:pStyle w:val="2"/>
        <w:spacing w:line="360" w:lineRule="auto"/>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台州市公交场站置业有限公司 </w:t>
      </w:r>
      <w:r>
        <w:rPr>
          <w:rFonts w:hint="eastAsia" w:ascii="仿宋" w:hAnsi="仿宋" w:eastAsia="仿宋" w:cs="仿宋"/>
          <w:sz w:val="28"/>
          <w:szCs w:val="28"/>
        </w:rPr>
        <w:t>：</w:t>
      </w:r>
    </w:p>
    <w:p>
      <w:pPr>
        <w:pStyle w:val="2"/>
        <w:spacing w:line="360" w:lineRule="auto"/>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根据收到的询价函，经我公司研究本项目有关文件后，愿意参加本次报价。我司承诺在贵方要求的期限内按国家规定的相关标准完成与本次服务相关的所有工作。</w:t>
      </w:r>
    </w:p>
    <w:p>
      <w:pPr>
        <w:pStyle w:val="2"/>
        <w:spacing w:line="360" w:lineRule="auto"/>
        <w:ind w:firstLine="552" w:firstLineChars="200"/>
        <w:rPr>
          <w:rFonts w:ascii="仿宋" w:hAnsi="仿宋" w:eastAsia="仿宋" w:cs="仿宋"/>
          <w:sz w:val="28"/>
          <w:szCs w:val="28"/>
        </w:rPr>
      </w:pPr>
      <w:r>
        <w:rPr>
          <w:rFonts w:hint="eastAsia" w:ascii="仿宋" w:hAnsi="仿宋" w:eastAsia="仿宋" w:cs="仿宋"/>
          <w:spacing w:val="-2"/>
          <w:sz w:val="28"/>
          <w:szCs w:val="28"/>
        </w:rPr>
        <w:t>报价见下表：</w:t>
      </w:r>
      <w:r>
        <w:rPr>
          <w:rFonts w:ascii="仿宋" w:hAnsi="仿宋" w:eastAsia="仿宋" w:cs="仿宋"/>
          <w:sz w:val="28"/>
          <w:szCs w:val="28"/>
        </w:rPr>
        <w:t xml:space="preserve"> </w:t>
      </w:r>
    </w:p>
    <w:tbl>
      <w:tblPr>
        <w:tblStyle w:val="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031"/>
        <w:gridCol w:w="5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工程名称</w:t>
            </w:r>
          </w:p>
        </w:tc>
        <w:tc>
          <w:tcPr>
            <w:tcW w:w="5628" w:type="dxa"/>
            <w:vAlign w:val="center"/>
          </w:tcPr>
          <w:p>
            <w:pPr>
              <w:pStyle w:val="2"/>
              <w:rPr>
                <w:rFonts w:ascii="仿宋" w:hAnsi="仿宋" w:eastAsia="仿宋" w:cs="仿宋"/>
                <w:spacing w:val="-2"/>
                <w:sz w:val="28"/>
                <w:szCs w:val="28"/>
              </w:rPr>
            </w:pPr>
            <w:r>
              <w:rPr>
                <w:rFonts w:hint="eastAsia" w:ascii="仿宋" w:hAnsi="仿宋" w:eastAsia="仿宋" w:cs="仿宋"/>
                <w:spacing w:val="-2"/>
                <w:sz w:val="28"/>
                <w:szCs w:val="28"/>
              </w:rPr>
              <w:t>台州市公交场站置业有限公司东平路TOD场站项目能耗监测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7"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承 包 方 式</w:t>
            </w:r>
          </w:p>
        </w:tc>
        <w:tc>
          <w:tcPr>
            <w:tcW w:w="5628"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质 量 等 级</w:t>
            </w:r>
          </w:p>
        </w:tc>
        <w:tc>
          <w:tcPr>
            <w:tcW w:w="5628"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5" w:hRule="atLeast"/>
          <w:jc w:val="center"/>
        </w:trPr>
        <w:tc>
          <w:tcPr>
            <w:tcW w:w="3031" w:type="dxa"/>
            <w:vMerge w:val="restart"/>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总价（含税）</w:t>
            </w:r>
          </w:p>
        </w:tc>
        <w:tc>
          <w:tcPr>
            <w:tcW w:w="5628" w:type="dxa"/>
            <w:vAlign w:val="center"/>
          </w:tcPr>
          <w:p>
            <w:pPr>
              <w:pStyle w:val="2"/>
              <w:rPr>
                <w:rFonts w:ascii="仿宋" w:hAnsi="仿宋" w:eastAsia="仿宋" w:cs="仿宋"/>
                <w:spacing w:val="-2"/>
                <w:sz w:val="28"/>
                <w:szCs w:val="28"/>
              </w:rPr>
            </w:pPr>
            <w:r>
              <w:rPr>
                <w:rFonts w:hint="eastAsia" w:ascii="仿宋" w:hAnsi="仿宋" w:eastAsia="仿宋" w:cs="仿宋"/>
                <w:spacing w:val="-2"/>
                <w:sz w:val="28"/>
                <w:szCs w:val="28"/>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28" w:hRule="atLeast"/>
          <w:jc w:val="center"/>
        </w:trPr>
        <w:tc>
          <w:tcPr>
            <w:tcW w:w="3031" w:type="dxa"/>
            <w:vMerge w:val="continue"/>
            <w:vAlign w:val="center"/>
          </w:tcPr>
          <w:p>
            <w:pPr>
              <w:pStyle w:val="2"/>
              <w:ind w:firstLine="552" w:firstLineChars="200"/>
              <w:rPr>
                <w:rFonts w:ascii="仿宋" w:hAnsi="仿宋" w:eastAsia="仿宋" w:cs="仿宋"/>
                <w:spacing w:val="-2"/>
                <w:sz w:val="28"/>
                <w:szCs w:val="28"/>
              </w:rPr>
            </w:pPr>
          </w:p>
        </w:tc>
        <w:tc>
          <w:tcPr>
            <w:tcW w:w="5628" w:type="dxa"/>
            <w:vAlign w:val="center"/>
          </w:tcPr>
          <w:p>
            <w:pPr>
              <w:pStyle w:val="2"/>
              <w:rPr>
                <w:rFonts w:ascii="仿宋" w:hAnsi="仿宋" w:eastAsia="仿宋" w:cs="仿宋"/>
                <w:spacing w:val="-2"/>
                <w:sz w:val="28"/>
                <w:szCs w:val="28"/>
              </w:rPr>
            </w:pPr>
            <w:r>
              <w:rPr>
                <w:rFonts w:hint="eastAsia" w:ascii="仿宋" w:hAnsi="仿宋" w:eastAsia="仿宋" w:cs="仿宋"/>
                <w:spacing w:val="-2"/>
                <w:sz w:val="28"/>
                <w:szCs w:val="28"/>
              </w:rPr>
              <w:t>（小写）</w:t>
            </w:r>
          </w:p>
        </w:tc>
      </w:tr>
    </w:tbl>
    <w:p>
      <w:pPr>
        <w:pStyle w:val="2"/>
        <w:spacing w:line="360" w:lineRule="auto"/>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备注：本次报价是询价公告所确定的工程范围内全部工作内容的价格表现，并承诺对本次询价过程、结果承担相应的保密责任。</w:t>
      </w:r>
    </w:p>
    <w:p>
      <w:pPr>
        <w:pStyle w:val="2"/>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公司</w:t>
      </w:r>
      <w:r>
        <w:rPr>
          <w:rFonts w:hint="eastAsia" w:ascii="仿宋" w:hAnsi="仿宋" w:eastAsia="仿宋" w:cs="仿宋"/>
          <w:sz w:val="28"/>
          <w:szCs w:val="28"/>
        </w:rPr>
        <w:t xml:space="preserve">(公章)： </w:t>
      </w:r>
    </w:p>
    <w:p>
      <w:pPr>
        <w:pStyle w:val="2"/>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法定代表人 (签字或盖章)：</w:t>
      </w:r>
    </w:p>
    <w:p>
      <w:pPr>
        <w:pStyle w:val="2"/>
        <w:wordWrap w:val="0"/>
        <w:spacing w:after="156" w:afterLines="50" w:line="360" w:lineRule="auto"/>
        <w:ind w:left="2222" w:leftChars="1058" w:firstLine="1120" w:firstLineChars="400"/>
        <w:jc w:val="right"/>
        <w:rPr>
          <w:rFonts w:ascii="仿宋" w:hAnsi="仿宋" w:eastAsia="仿宋" w:cs="仿宋"/>
          <w:sz w:val="28"/>
          <w:szCs w:val="28"/>
        </w:rPr>
      </w:pPr>
      <w:r>
        <w:rPr>
          <w:rFonts w:hint="eastAsia" w:ascii="仿宋" w:hAnsi="仿宋" w:eastAsia="仿宋" w:cs="仿宋"/>
          <w:sz w:val="28"/>
          <w:szCs w:val="28"/>
        </w:rPr>
        <w:t>日期：  年   月   日</w:t>
      </w:r>
    </w:p>
    <w:p>
      <w:pPr>
        <w:jc w:val="center"/>
      </w:pPr>
      <w:bookmarkStart w:id="1" w:name="_GoBack"/>
      <w:bookmarkEnd w:id="1"/>
    </w:p>
    <w:sectPr>
      <w:pgSz w:w="11906" w:h="16838"/>
      <w:pgMar w:top="1135" w:right="1486" w:bottom="99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20415"/>
    <w:rsid w:val="5FF20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qFormat/>
    <w:uiPriority w:val="0"/>
    <w:pPr>
      <w:widowControl/>
      <w:overflowPunct w:val="0"/>
      <w:autoSpaceDE w:val="0"/>
      <w:autoSpaceDN w:val="0"/>
      <w:adjustRightInd w:val="0"/>
      <w:jc w:val="left"/>
      <w:textAlignment w:val="baseline"/>
    </w:pPr>
    <w:rPr>
      <w:rFonts w:ascii="宋体" w:hAnsi="Courier New"/>
      <w:kern w:val="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2023-10-12T04:47:00Z</dcterms:created>
  <dc:creator>汶辰</dc:creator>
  <cp:lastModifiedBy>汶辰</cp:lastModifiedBy>
  <dcterms:modified xsi:type="dcterms:W3CDTF">2023-10-12T04:48:16Z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539DEB1EDAED4D0C93DCF13C40F351B5</vt:lpwstr>
  </property>
</Properties>
</file>